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CDA" w:rsidRPr="00865651" w:rsidRDefault="00F86CDA" w:rsidP="003A02DE">
      <w:pPr>
        <w:spacing w:line="288" w:lineRule="auto"/>
        <w:rPr>
          <w:b/>
          <w:sz w:val="28"/>
          <w:szCs w:val="28"/>
          <w:highlight w:val="yellow"/>
        </w:rPr>
      </w:pPr>
      <w:bookmarkStart w:id="0" w:name="_GoBack"/>
      <w:bookmarkEnd w:id="0"/>
    </w:p>
    <w:p w:rsidR="00F86CDA" w:rsidRPr="00F86CDA" w:rsidRDefault="00F86CDA" w:rsidP="003A02DE">
      <w:pPr>
        <w:spacing w:line="288" w:lineRule="auto"/>
        <w:jc w:val="center"/>
        <w:rPr>
          <w:b/>
          <w:sz w:val="28"/>
          <w:szCs w:val="28"/>
        </w:rPr>
      </w:pPr>
      <w:r w:rsidRPr="00F86CDA">
        <w:rPr>
          <w:b/>
          <w:sz w:val="28"/>
          <w:szCs w:val="28"/>
        </w:rPr>
        <w:t>Информация</w:t>
      </w:r>
    </w:p>
    <w:p w:rsidR="00F86CDA" w:rsidRPr="006004F5" w:rsidRDefault="00F86CDA" w:rsidP="003A02DE">
      <w:pPr>
        <w:spacing w:line="288" w:lineRule="auto"/>
        <w:jc w:val="center"/>
        <w:rPr>
          <w:b/>
          <w:sz w:val="28"/>
          <w:szCs w:val="28"/>
        </w:rPr>
      </w:pPr>
      <w:r w:rsidRPr="006004F5">
        <w:rPr>
          <w:b/>
          <w:sz w:val="28"/>
          <w:szCs w:val="28"/>
        </w:rPr>
        <w:t>о результатах обследования эффективности использования</w:t>
      </w:r>
    </w:p>
    <w:p w:rsidR="00F86CDA" w:rsidRPr="006004F5" w:rsidRDefault="00F86CDA" w:rsidP="003A02DE">
      <w:pPr>
        <w:spacing w:line="288" w:lineRule="auto"/>
        <w:jc w:val="center"/>
        <w:rPr>
          <w:b/>
          <w:sz w:val="28"/>
          <w:szCs w:val="28"/>
        </w:rPr>
      </w:pPr>
      <w:r w:rsidRPr="006004F5">
        <w:rPr>
          <w:b/>
          <w:sz w:val="28"/>
          <w:szCs w:val="28"/>
        </w:rPr>
        <w:t xml:space="preserve">муниципального имущества, расположенного по адресу: г.Казань, ул.Вагапова,17 (спортивно-тренировочный крытый каток с искусственным льдом) в </w:t>
      </w:r>
      <w:r w:rsidRPr="006004F5">
        <w:rPr>
          <w:rFonts w:eastAsia="Calibri"/>
          <w:b/>
          <w:sz w:val="28"/>
          <w:szCs w:val="28"/>
        </w:rPr>
        <w:t xml:space="preserve">Муниципальном автономном учреждении </w:t>
      </w:r>
      <w:r w:rsidRPr="006004F5">
        <w:rPr>
          <w:b/>
          <w:sz w:val="28"/>
          <w:szCs w:val="28"/>
        </w:rPr>
        <w:t>дополнительного образования «Детско-юношеская спортивная школа г.Казани “Ак Буре”» (далее – МАУ «ДЮСШ “Ак Буре”»)</w:t>
      </w:r>
    </w:p>
    <w:p w:rsidR="00F86CDA" w:rsidRDefault="00F86CDA" w:rsidP="003A02DE">
      <w:pPr>
        <w:spacing w:line="288" w:lineRule="auto"/>
        <w:ind w:firstLine="851"/>
        <w:jc w:val="both"/>
        <w:rPr>
          <w:sz w:val="28"/>
          <w:szCs w:val="28"/>
          <w:highlight w:val="yellow"/>
        </w:rPr>
      </w:pPr>
    </w:p>
    <w:p w:rsidR="00F86CDA" w:rsidRPr="006004F5" w:rsidRDefault="00F86CDA" w:rsidP="003A02DE">
      <w:pPr>
        <w:spacing w:line="288" w:lineRule="auto"/>
        <w:ind w:firstLine="708"/>
        <w:jc w:val="both"/>
        <w:rPr>
          <w:sz w:val="28"/>
          <w:szCs w:val="28"/>
        </w:rPr>
      </w:pPr>
      <w:r w:rsidRPr="006004F5">
        <w:rPr>
          <w:b/>
          <w:sz w:val="28"/>
          <w:szCs w:val="28"/>
        </w:rPr>
        <w:t>Основание для проведения контрольного мероприятия:</w:t>
      </w:r>
      <w:r w:rsidRPr="006004F5">
        <w:rPr>
          <w:sz w:val="28"/>
          <w:szCs w:val="28"/>
        </w:rPr>
        <w:t xml:space="preserve"> План работы Контрольно-счетной палаты города Казани на 2017 год, </w:t>
      </w:r>
      <w:r>
        <w:rPr>
          <w:sz w:val="28"/>
          <w:szCs w:val="28"/>
        </w:rPr>
        <w:t xml:space="preserve">поручение </w:t>
      </w:r>
      <w:r w:rsidRPr="00FD4FC4">
        <w:rPr>
          <w:sz w:val="28"/>
          <w:szCs w:val="28"/>
        </w:rPr>
        <w:t xml:space="preserve">исполняющего обязанности председателя-заместителя </w:t>
      </w:r>
      <w:r w:rsidRPr="00D638FF">
        <w:rPr>
          <w:sz w:val="28"/>
          <w:szCs w:val="28"/>
        </w:rPr>
        <w:t>Контрольно-счетной палаты города Казани от </w:t>
      </w:r>
      <w:r w:rsidRPr="00FD4FC4">
        <w:rPr>
          <w:sz w:val="28"/>
          <w:szCs w:val="28"/>
        </w:rPr>
        <w:t>24.03.2017 №6</w:t>
      </w:r>
    </w:p>
    <w:p w:rsidR="00F86CDA" w:rsidRPr="006004F5" w:rsidRDefault="00F86CDA" w:rsidP="003A02DE">
      <w:pPr>
        <w:spacing w:line="288" w:lineRule="auto"/>
        <w:ind w:firstLine="708"/>
        <w:jc w:val="both"/>
        <w:rPr>
          <w:sz w:val="28"/>
          <w:szCs w:val="28"/>
        </w:rPr>
      </w:pPr>
      <w:r w:rsidRPr="006004F5">
        <w:rPr>
          <w:b/>
          <w:sz w:val="28"/>
          <w:szCs w:val="28"/>
        </w:rPr>
        <w:t xml:space="preserve">Предмет контрольного мероприятия: </w:t>
      </w:r>
      <w:r w:rsidRPr="006004F5">
        <w:rPr>
          <w:sz w:val="28"/>
          <w:szCs w:val="28"/>
        </w:rPr>
        <w:t>муниципальное имущество, (спортивно-тренировочный крытый каток с искусственным льдом)</w:t>
      </w:r>
      <w:r>
        <w:rPr>
          <w:sz w:val="28"/>
          <w:szCs w:val="28"/>
        </w:rPr>
        <w:t xml:space="preserve"> </w:t>
      </w:r>
      <w:r w:rsidRPr="006004F5">
        <w:rPr>
          <w:sz w:val="28"/>
          <w:szCs w:val="28"/>
        </w:rPr>
        <w:t>МАУ «ДЮСШ “Ак Буре”»</w:t>
      </w:r>
    </w:p>
    <w:p w:rsidR="00F86CDA" w:rsidRPr="006004F5" w:rsidRDefault="00F86CDA" w:rsidP="003A02DE">
      <w:pPr>
        <w:spacing w:line="288" w:lineRule="auto"/>
        <w:ind w:firstLine="708"/>
        <w:jc w:val="both"/>
        <w:rPr>
          <w:sz w:val="28"/>
          <w:szCs w:val="28"/>
          <w:highlight w:val="yellow"/>
        </w:rPr>
      </w:pPr>
      <w:r w:rsidRPr="006004F5">
        <w:rPr>
          <w:b/>
          <w:sz w:val="28"/>
          <w:szCs w:val="28"/>
        </w:rPr>
        <w:t>Цель проверки:</w:t>
      </w:r>
      <w:r w:rsidRPr="006004F5">
        <w:rPr>
          <w:sz w:val="28"/>
          <w:szCs w:val="28"/>
        </w:rPr>
        <w:t xml:space="preserve"> эффективность использования муниципального имущества</w:t>
      </w:r>
      <w:r>
        <w:rPr>
          <w:sz w:val="28"/>
          <w:szCs w:val="28"/>
        </w:rPr>
        <w:t xml:space="preserve"> </w:t>
      </w:r>
      <w:r w:rsidRPr="006004F5">
        <w:rPr>
          <w:sz w:val="28"/>
          <w:szCs w:val="28"/>
        </w:rPr>
        <w:t>(спортивно-тренировочный крытый каток с искусственным льдом)</w:t>
      </w:r>
      <w:r>
        <w:rPr>
          <w:sz w:val="28"/>
          <w:szCs w:val="28"/>
        </w:rPr>
        <w:t xml:space="preserve"> </w:t>
      </w:r>
      <w:r w:rsidRPr="006004F5">
        <w:rPr>
          <w:sz w:val="28"/>
          <w:szCs w:val="28"/>
        </w:rPr>
        <w:t>МАУ «ДЮСШ “Ак Буре”»</w:t>
      </w:r>
    </w:p>
    <w:p w:rsidR="00F86CDA" w:rsidRPr="006004F5" w:rsidRDefault="00F86CDA" w:rsidP="003A02DE">
      <w:pPr>
        <w:spacing w:line="288" w:lineRule="auto"/>
        <w:ind w:firstLine="708"/>
        <w:jc w:val="both"/>
        <w:rPr>
          <w:sz w:val="28"/>
          <w:szCs w:val="28"/>
          <w:highlight w:val="yellow"/>
        </w:rPr>
      </w:pPr>
      <w:r w:rsidRPr="006004F5">
        <w:rPr>
          <w:b/>
          <w:sz w:val="28"/>
          <w:szCs w:val="28"/>
        </w:rPr>
        <w:t>Объект:</w:t>
      </w:r>
      <w:r w:rsidRPr="006004F5">
        <w:rPr>
          <w:rFonts w:eastAsiaTheme="minorHAnsi"/>
          <w:sz w:val="28"/>
          <w:szCs w:val="28"/>
          <w:lang w:eastAsia="en-US"/>
        </w:rPr>
        <w:t xml:space="preserve"> </w:t>
      </w:r>
      <w:r w:rsidRPr="006004F5">
        <w:rPr>
          <w:sz w:val="28"/>
          <w:szCs w:val="28"/>
        </w:rPr>
        <w:t>имуществ</w:t>
      </w:r>
      <w:r>
        <w:rPr>
          <w:sz w:val="28"/>
          <w:szCs w:val="28"/>
        </w:rPr>
        <w:t>о</w:t>
      </w:r>
      <w:r w:rsidRPr="006004F5">
        <w:rPr>
          <w:sz w:val="28"/>
          <w:szCs w:val="28"/>
        </w:rPr>
        <w:t xml:space="preserve"> МАУ «ДЮСШ “Ак Буре”», расположенно</w:t>
      </w:r>
      <w:r>
        <w:rPr>
          <w:sz w:val="28"/>
          <w:szCs w:val="28"/>
        </w:rPr>
        <w:t xml:space="preserve">е </w:t>
      </w:r>
      <w:r w:rsidRPr="006004F5">
        <w:rPr>
          <w:sz w:val="28"/>
          <w:szCs w:val="28"/>
        </w:rPr>
        <w:t>по адресу: г.Казань, ул.Вагапова,17 (спортивно-тренировочный крытый каток с искусственным льдом)</w:t>
      </w:r>
      <w:r>
        <w:rPr>
          <w:sz w:val="28"/>
          <w:szCs w:val="28"/>
        </w:rPr>
        <w:t>)</w:t>
      </w:r>
    </w:p>
    <w:p w:rsidR="00F86CDA" w:rsidRPr="006004F5" w:rsidRDefault="00F86CDA" w:rsidP="003A02DE">
      <w:pPr>
        <w:spacing w:line="288" w:lineRule="auto"/>
        <w:ind w:firstLine="708"/>
        <w:jc w:val="both"/>
        <w:rPr>
          <w:sz w:val="28"/>
          <w:szCs w:val="28"/>
        </w:rPr>
      </w:pPr>
      <w:r w:rsidRPr="006004F5">
        <w:rPr>
          <w:b/>
          <w:sz w:val="28"/>
          <w:szCs w:val="28"/>
        </w:rPr>
        <w:t>Проверяемый период:</w:t>
      </w:r>
      <w:r w:rsidRPr="006004F5">
        <w:rPr>
          <w:sz w:val="28"/>
          <w:szCs w:val="28"/>
        </w:rPr>
        <w:t xml:space="preserve"> 2015-2016 годы</w:t>
      </w:r>
    </w:p>
    <w:p w:rsidR="00F86CDA" w:rsidRPr="006004F5" w:rsidRDefault="00F86CDA" w:rsidP="003A02DE">
      <w:pPr>
        <w:spacing w:line="288" w:lineRule="auto"/>
        <w:ind w:firstLine="708"/>
        <w:jc w:val="both"/>
        <w:rPr>
          <w:sz w:val="28"/>
          <w:szCs w:val="28"/>
        </w:rPr>
      </w:pPr>
      <w:r w:rsidRPr="006004F5">
        <w:rPr>
          <w:b/>
          <w:sz w:val="28"/>
          <w:szCs w:val="28"/>
        </w:rPr>
        <w:t>Срок проведения:</w:t>
      </w:r>
      <w:r w:rsidRPr="006004F5">
        <w:rPr>
          <w:sz w:val="28"/>
          <w:szCs w:val="28"/>
        </w:rPr>
        <w:t xml:space="preserve"> с </w:t>
      </w:r>
      <w:r>
        <w:rPr>
          <w:sz w:val="28"/>
          <w:szCs w:val="28"/>
        </w:rPr>
        <w:t>27.03.2017 по 17.04.2017</w:t>
      </w:r>
    </w:p>
    <w:p w:rsidR="00F86CDA" w:rsidRPr="00F86CDA" w:rsidRDefault="00F86CDA" w:rsidP="003A02DE">
      <w:pPr>
        <w:spacing w:line="288" w:lineRule="auto"/>
        <w:ind w:firstLine="708"/>
        <w:jc w:val="both"/>
        <w:rPr>
          <w:sz w:val="28"/>
          <w:szCs w:val="28"/>
        </w:rPr>
      </w:pPr>
    </w:p>
    <w:p w:rsidR="00F86CDA" w:rsidRPr="00F86CDA" w:rsidRDefault="00F86CDA" w:rsidP="003A02DE">
      <w:pPr>
        <w:spacing w:line="288" w:lineRule="auto"/>
        <w:ind w:firstLine="708"/>
        <w:jc w:val="both"/>
        <w:rPr>
          <w:sz w:val="28"/>
          <w:szCs w:val="28"/>
        </w:rPr>
      </w:pPr>
      <w:r w:rsidRPr="00F86CDA">
        <w:rPr>
          <w:sz w:val="28"/>
          <w:szCs w:val="28"/>
        </w:rPr>
        <w:t>В ходе проведения контрольного мероприятия установлено следующее.</w:t>
      </w:r>
    </w:p>
    <w:p w:rsidR="00F86CDA" w:rsidRDefault="00F86CDA" w:rsidP="003A02DE">
      <w:pPr>
        <w:pStyle w:val="ConsPlusNormal"/>
        <w:spacing w:line="288" w:lineRule="auto"/>
        <w:ind w:firstLine="708"/>
        <w:jc w:val="both"/>
        <w:rPr>
          <w:rFonts w:eastAsia="Times New Roman"/>
          <w:lang w:eastAsia="ru-RU"/>
        </w:rPr>
      </w:pPr>
      <w:r>
        <w:t>1. Г</w:t>
      </w:r>
      <w:r w:rsidRPr="00A433C4">
        <w:rPr>
          <w:rFonts w:eastAsia="Times New Roman"/>
          <w:lang w:eastAsia="ar-SA"/>
        </w:rPr>
        <w:t xml:space="preserve">осударственная регистрация права оперативного управления </w:t>
      </w:r>
      <w:r>
        <w:rPr>
          <w:rFonts w:eastAsia="Times New Roman"/>
          <w:lang w:eastAsia="ar-SA"/>
        </w:rPr>
        <w:t xml:space="preserve">на </w:t>
      </w:r>
      <w:r w:rsidRPr="0054113B">
        <w:rPr>
          <w:rFonts w:eastAsia="Times New Roman"/>
          <w:lang w:eastAsia="ar-SA"/>
        </w:rPr>
        <w:t>спортивно-тренировочный крытый каток с искусственным льдом по ул. Вагапова</w:t>
      </w:r>
      <w:r>
        <w:rPr>
          <w:rFonts w:eastAsia="Times New Roman"/>
          <w:lang w:eastAsia="ar-SA"/>
        </w:rPr>
        <w:t>,17 (</w:t>
      </w:r>
      <w:r w:rsidRPr="0054113B">
        <w:t>договор № 1/147 от 03.12.2008</w:t>
      </w:r>
      <w:r>
        <w:t>) о</w:t>
      </w:r>
      <w:r w:rsidRPr="00A433C4">
        <w:rPr>
          <w:rFonts w:eastAsia="Times New Roman"/>
          <w:lang w:eastAsia="ar-SA"/>
        </w:rPr>
        <w:t>формлена несвоевременно, толь</w:t>
      </w:r>
      <w:r>
        <w:rPr>
          <w:rFonts w:eastAsia="Times New Roman"/>
          <w:lang w:eastAsia="ar-SA"/>
        </w:rPr>
        <w:t xml:space="preserve">ко в 2015 году, </w:t>
      </w:r>
      <w:r>
        <w:t>что не соответствует требованиям статей 299,</w:t>
      </w:r>
      <w:r w:rsidRPr="00AF138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130, </w:t>
      </w:r>
      <w:r w:rsidRPr="004C5697">
        <w:rPr>
          <w:rFonts w:eastAsia="Times New Roman"/>
          <w:lang w:eastAsia="ru-RU"/>
        </w:rPr>
        <w:t xml:space="preserve">131, </w:t>
      </w:r>
      <w:r>
        <w:rPr>
          <w:rFonts w:eastAsia="Times New Roman"/>
          <w:lang w:eastAsia="ru-RU"/>
        </w:rPr>
        <w:t xml:space="preserve">164, </w:t>
      </w:r>
      <w:r w:rsidRPr="004C5697">
        <w:rPr>
          <w:rFonts w:eastAsia="Times New Roman"/>
          <w:lang w:eastAsia="ru-RU"/>
        </w:rPr>
        <w:t>222</w:t>
      </w:r>
      <w:r>
        <w:t xml:space="preserve"> Гражданского кодекса Российской Федерации</w:t>
      </w:r>
      <w:r w:rsidRPr="004C5697">
        <w:rPr>
          <w:rFonts w:eastAsia="Times New Roman"/>
          <w:lang w:eastAsia="ru-RU"/>
        </w:rPr>
        <w:t xml:space="preserve">; </w:t>
      </w:r>
      <w:hyperlink r:id="rId8" w:history="1">
        <w:r w:rsidRPr="004C5697">
          <w:rPr>
            <w:rFonts w:eastAsia="Times New Roman"/>
            <w:color w:val="000000"/>
            <w:lang w:eastAsia="ru-RU"/>
          </w:rPr>
          <w:t>п.2 статьи 4</w:t>
        </w:r>
      </w:hyperlink>
      <w:r>
        <w:rPr>
          <w:rFonts w:eastAsia="Times New Roman"/>
          <w:color w:val="000000"/>
          <w:lang w:eastAsia="ru-RU"/>
        </w:rPr>
        <w:t> </w:t>
      </w:r>
      <w:r w:rsidRPr="004C5697">
        <w:rPr>
          <w:rFonts w:eastAsia="Times New Roman"/>
          <w:lang w:eastAsia="ru-RU"/>
        </w:rPr>
        <w:t>Федерального закона от 21.07.1997 №122-ФЗ «О государственной регистрации прав на недви</w:t>
      </w:r>
      <w:r>
        <w:rPr>
          <w:rFonts w:eastAsia="Times New Roman"/>
          <w:lang w:eastAsia="ru-RU"/>
        </w:rPr>
        <w:t>жимое имущество и сделок с ним».</w:t>
      </w:r>
    </w:p>
    <w:p w:rsidR="00F86CDA" w:rsidRDefault="00F86CDA" w:rsidP="003A02DE">
      <w:pPr>
        <w:pStyle w:val="a3"/>
        <w:spacing w:after="0" w:line="288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172750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>
        <w:rPr>
          <w:rFonts w:ascii="Times New Roman" w:hAnsi="Times New Roman" w:cs="Times New Roman"/>
          <w:sz w:val="28"/>
          <w:szCs w:val="28"/>
        </w:rPr>
        <w:t>В бухгалтерском учете</w:t>
      </w:r>
      <w:r w:rsidRPr="007255F0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 </w:t>
      </w:r>
      <w:r w:rsidRPr="0054113B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МАУ «ДЮСШ “Ак Буре”»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 не произведено уменьшение стоимости здания н</w:t>
      </w:r>
      <w:r>
        <w:rPr>
          <w:rFonts w:ascii="Times New Roman" w:hAnsi="Times New Roman" w:cs="Times New Roman"/>
          <w:sz w:val="28"/>
          <w:szCs w:val="28"/>
        </w:rPr>
        <w:t>а сумму 2 735,0 тыс.рублей (объекты электроснабжения) на основании заключения с КЗИО ИК МО г.Казани</w:t>
      </w:r>
      <w:r w:rsidRPr="00585AD1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D10B9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D1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(от 08.05.2014 б/н) к акту приема-передачи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спортивно-тренировочного катка с искусственным льдом по ул.Вагапова (от 28.03.2006), что </w:t>
      </w:r>
      <w:r w:rsidRPr="008243C7">
        <w:rPr>
          <w:rFonts w:ascii="Times New Roman" w:hAnsi="Times New Roman" w:cs="Times New Roman"/>
          <w:sz w:val="28"/>
          <w:szCs w:val="28"/>
        </w:rPr>
        <w:t>н</w:t>
      </w:r>
      <w:r w:rsidRPr="008243C7">
        <w:rPr>
          <w:rFonts w:ascii="Times New Roman" w:eastAsia="Times New Roman" w:hAnsi="Times New Roman" w:cs="Times New Roman"/>
          <w:sz w:val="28"/>
          <w:szCs w:val="28"/>
          <w:lang w:eastAsia="ar-SA"/>
        </w:rPr>
        <w:t>е обеспечивает в должной мере объективность формирования систематизированной информации об объектах основных средств, составление на ее основе бухгалтерской (финансовой) отчетности в соответствии с требованиями</w:t>
      </w:r>
      <w:r w:rsidRPr="008243C7">
        <w:rPr>
          <w:rFonts w:ascii="Times New Roman" w:hAnsi="Times New Roman" w:cs="Times New Roman"/>
          <w:sz w:val="28"/>
          <w:szCs w:val="28"/>
        </w:rPr>
        <w:t xml:space="preserve"> статей 299,</w:t>
      </w:r>
      <w:r w:rsidRPr="0082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130, 131</w:t>
      </w:r>
      <w:r w:rsidRPr="008243C7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Федерации;</w:t>
      </w:r>
      <w:r w:rsidRPr="008243C7">
        <w:rPr>
          <w:rFonts w:ascii="Times New Roman" w:hAnsi="Times New Roman" w:cs="Times New Roman"/>
          <w:bCs/>
          <w:sz w:val="28"/>
          <w:szCs w:val="28"/>
        </w:rPr>
        <w:t xml:space="preserve"> статей 9, 10, 13, 19 Федерального закона от 06.12.2011 №402-ФЗ «О бухгалтерском учете»; п.36 </w:t>
      </w:r>
      <w:r w:rsidR="005624E3" w:rsidRPr="008243C7">
        <w:rPr>
          <w:rFonts w:ascii="Times New Roman" w:hAnsi="Times New Roman" w:cs="Times New Roman"/>
          <w:bCs/>
          <w:sz w:val="28"/>
          <w:szCs w:val="28"/>
        </w:rPr>
        <w:t xml:space="preserve">Инструкции </w:t>
      </w:r>
      <w:r w:rsidRPr="008243C7">
        <w:rPr>
          <w:rFonts w:ascii="Times New Roman" w:hAnsi="Times New Roman" w:cs="Times New Roman"/>
          <w:bCs/>
          <w:sz w:val="28"/>
          <w:szCs w:val="28"/>
        </w:rPr>
        <w:t>№157н.</w:t>
      </w:r>
    </w:p>
    <w:p w:rsidR="00F86CDA" w:rsidRDefault="00172750" w:rsidP="003A02DE">
      <w:pPr>
        <w:pStyle w:val="a3"/>
        <w:spacing w:after="0" w:line="288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7F21C7">
        <w:rPr>
          <w:rFonts w:ascii="Times New Roman" w:hAnsi="Times New Roman" w:cs="Times New Roman"/>
          <w:sz w:val="28"/>
          <w:szCs w:val="28"/>
        </w:rPr>
        <w:t>Ф</w:t>
      </w:r>
      <w:r w:rsidR="00F86CDA">
        <w:rPr>
          <w:rFonts w:ascii="Times New Roman" w:hAnsi="Times New Roman" w:cs="Times New Roman"/>
          <w:sz w:val="28"/>
          <w:szCs w:val="28"/>
        </w:rPr>
        <w:t>актические вложения в объект нефинансовых активов в объеме затрат на его дооборудование, реконструкцию</w:t>
      </w:r>
      <w:r w:rsidR="00F86CDA" w:rsidRPr="009471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86C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(сметная стоимость - </w:t>
      </w:r>
      <w:r w:rsidR="00F86CDA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14 411,4 тыс.рублей), являясь неотделимыми улучшениями, </w:t>
      </w:r>
      <w:r w:rsidR="00F86CDA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="00F86CDA" w:rsidRPr="00CE39F7">
        <w:rPr>
          <w:rFonts w:ascii="Times New Roman" w:hAnsi="Times New Roman" w:cs="Times New Roman"/>
          <w:sz w:val="28"/>
          <w:szCs w:val="28"/>
        </w:rPr>
        <w:t xml:space="preserve">не переданы </w:t>
      </w:r>
      <w:r w:rsidR="00F86CDA"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собственность, </w:t>
      </w:r>
      <w:r w:rsidR="00F86CDA" w:rsidRPr="00CE39F7">
        <w:rPr>
          <w:rFonts w:ascii="Times New Roman" w:hAnsi="Times New Roman" w:cs="Times New Roman"/>
          <w:sz w:val="28"/>
          <w:szCs w:val="28"/>
        </w:rPr>
        <w:t>балансодержателю объекта</w:t>
      </w:r>
      <w:r w:rsidR="00F86CDA">
        <w:rPr>
          <w:rFonts w:ascii="Times New Roman" w:hAnsi="Times New Roman" w:cs="Times New Roman"/>
          <w:sz w:val="28"/>
          <w:szCs w:val="28"/>
        </w:rPr>
        <w:t xml:space="preserve"> </w:t>
      </w:r>
      <w:r w:rsidR="00F86CDA">
        <w:rPr>
          <w:rFonts w:ascii="Times New Roman" w:eastAsia="Times New Roman" w:hAnsi="Times New Roman" w:cs="Times New Roman"/>
          <w:sz w:val="28"/>
          <w:szCs w:val="28"/>
          <w:lang w:eastAsia="ar-SA"/>
        </w:rPr>
        <w:t>МАУ </w:t>
      </w:r>
      <w:r w:rsidR="00F86CDA" w:rsidRPr="00D638FF">
        <w:rPr>
          <w:rFonts w:ascii="Times New Roman" w:eastAsia="Times New Roman" w:hAnsi="Times New Roman" w:cs="Times New Roman"/>
          <w:sz w:val="28"/>
          <w:szCs w:val="28"/>
          <w:lang w:eastAsia="ar-SA"/>
        </w:rPr>
        <w:t>«ДЮСШ “Ак Буре”»</w:t>
      </w:r>
      <w:r w:rsidR="00F86C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86CDA">
        <w:rPr>
          <w:rFonts w:ascii="Times New Roman" w:hAnsi="Times New Roman" w:cs="Times New Roman"/>
          <w:sz w:val="28"/>
          <w:szCs w:val="28"/>
        </w:rPr>
        <w:t>в целях увеличения первоначальной (балансовой) и определения достоверной стоимости объекта</w:t>
      </w:r>
      <w:r w:rsidR="00F86C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F86CDA" w:rsidRPr="00C832D9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что </w:t>
      </w:r>
      <w:r w:rsidR="00F86CDA" w:rsidRPr="0026534D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обеспечивает формирование полной и достоверной информации о наличии государственного (муниципального) имущества, его использовании, сохранности, эффективности управления им, о принятых учреждением обязательствах</w:t>
      </w:r>
      <w:r w:rsidR="00F86C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86CDA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и </w:t>
      </w:r>
      <w:r w:rsidR="00F86CDA" w:rsidRPr="00C832D9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не соответствует</w:t>
      </w:r>
      <w:r w:rsidR="00F86CDA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:</w:t>
      </w:r>
    </w:p>
    <w:p w:rsidR="00F86CDA" w:rsidRDefault="00F86CDA" w:rsidP="003A02DE">
      <w:pPr>
        <w:pStyle w:val="a3"/>
        <w:spacing w:after="0" w:line="288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- статьям 9, 11, 13,19 </w:t>
      </w:r>
      <w:r w:rsidRPr="00C93D07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ого </w:t>
      </w:r>
      <w:r w:rsidRPr="00C93D07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закон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а от 06.12.2011 №</w:t>
      </w:r>
      <w:r w:rsidRPr="00C93D07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402-ФЗ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«О </w:t>
      </w:r>
      <w:r w:rsidRPr="00C93D07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бухгалтерском учете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»;</w:t>
      </w:r>
    </w:p>
    <w:p w:rsidR="00F86CDA" w:rsidRDefault="00F86CDA" w:rsidP="003A02DE">
      <w:pPr>
        <w:pStyle w:val="a3"/>
        <w:spacing w:after="0" w:line="288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-</w:t>
      </w:r>
      <w:r w:rsidRPr="00C832D9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п.п. 4, 27, 31, 42, 47</w:t>
      </w:r>
      <w:r w:rsidRPr="00464C7F">
        <w:t xml:space="preserve"> </w:t>
      </w:r>
      <w:r w:rsidRPr="00464C7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Инструкции по применению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е</w:t>
      </w:r>
      <w:r w:rsidRPr="00464C7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 (</w:t>
      </w:r>
      <w:r w:rsidRPr="00464C7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 Минфина России от 01.12.2010 №</w:t>
      </w:r>
      <w:r w:rsidRPr="00464C7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157н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);</w:t>
      </w:r>
    </w:p>
    <w:p w:rsidR="00F86CDA" w:rsidRDefault="00F86CDA" w:rsidP="003A02DE">
      <w:pPr>
        <w:pStyle w:val="a3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- </w:t>
      </w:r>
      <w:r w:rsidRPr="00CE39F7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п.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3.3 </w:t>
      </w:r>
      <w:r w:rsidRPr="00D057D2">
        <w:rPr>
          <w:rFonts w:ascii="Times New Roman" w:hAnsi="Times New Roman" w:cs="Times New Roman"/>
          <w:sz w:val="28"/>
          <w:szCs w:val="28"/>
        </w:rPr>
        <w:t>Методических указаний по инвентаризации имущества и финансовых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Пр</w:t>
      </w:r>
      <w:r>
        <w:rPr>
          <w:rFonts w:ascii="Times New Roman" w:hAnsi="Times New Roman" w:cs="Times New Roman"/>
          <w:sz w:val="28"/>
          <w:szCs w:val="28"/>
        </w:rPr>
        <w:t>иказ Минфина РФ от 13.06.1995 №</w:t>
      </w:r>
      <w:r w:rsidRPr="00D057D2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86CDA" w:rsidRPr="00D77C8F" w:rsidRDefault="00172750" w:rsidP="003A02DE">
      <w:pPr>
        <w:pStyle w:val="a3"/>
        <w:spacing w:after="0" w:line="288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3022">
        <w:rPr>
          <w:rFonts w:ascii="Times New Roman" w:eastAsia="Times New Roman" w:hAnsi="Times New Roman" w:cs="Times New Roman"/>
          <w:sz w:val="28"/>
          <w:szCs w:val="28"/>
          <w:lang w:eastAsia="ar-SA"/>
        </w:rPr>
        <w:t>4. </w:t>
      </w:r>
      <w:r w:rsidR="00F86CDA" w:rsidRPr="0002302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проверке доходов от использования муниципального имущества установлено следующее.</w:t>
      </w:r>
    </w:p>
    <w:p w:rsidR="00074CFA" w:rsidRPr="002B3070" w:rsidRDefault="00B36D74" w:rsidP="003A02DE">
      <w:pPr>
        <w:autoSpaceDE w:val="0"/>
        <w:autoSpaceDN w:val="0"/>
        <w:adjustRightInd w:val="0"/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0530B2" w:rsidRPr="002B3070">
        <w:rPr>
          <w:sz w:val="28"/>
          <w:szCs w:val="28"/>
        </w:rPr>
        <w:t xml:space="preserve">Доходы </w:t>
      </w:r>
      <w:r w:rsidR="00074CFA" w:rsidRPr="002B3070">
        <w:rPr>
          <w:sz w:val="28"/>
          <w:szCs w:val="28"/>
        </w:rPr>
        <w:t xml:space="preserve">от оказания платных услуг </w:t>
      </w:r>
      <w:r w:rsidR="00074CFA">
        <w:rPr>
          <w:sz w:val="28"/>
          <w:szCs w:val="28"/>
        </w:rPr>
        <w:t xml:space="preserve">от </w:t>
      </w:r>
      <w:r w:rsidR="00074CFA" w:rsidRPr="00D638FF">
        <w:rPr>
          <w:sz w:val="28"/>
          <w:szCs w:val="28"/>
        </w:rPr>
        <w:t xml:space="preserve">использования </w:t>
      </w:r>
      <w:r w:rsidR="00074CFA">
        <w:rPr>
          <w:sz w:val="28"/>
          <w:szCs w:val="28"/>
        </w:rPr>
        <w:t xml:space="preserve">спортивно-тренировочного крытого катка с искусственным льдом </w:t>
      </w:r>
      <w:r w:rsidR="000530B2">
        <w:rPr>
          <w:sz w:val="28"/>
          <w:szCs w:val="28"/>
        </w:rPr>
        <w:t>составили</w:t>
      </w:r>
      <w:r w:rsidR="00074CFA" w:rsidRPr="002B3070">
        <w:rPr>
          <w:sz w:val="28"/>
          <w:szCs w:val="28"/>
        </w:rPr>
        <w:t>:</w:t>
      </w:r>
    </w:p>
    <w:p w:rsidR="00074CFA" w:rsidRPr="001025AF" w:rsidRDefault="00074CFA" w:rsidP="003A02DE">
      <w:pPr>
        <w:autoSpaceDE w:val="0"/>
        <w:autoSpaceDN w:val="0"/>
        <w:adjustRightInd w:val="0"/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B3070">
        <w:rPr>
          <w:sz w:val="28"/>
          <w:szCs w:val="28"/>
        </w:rPr>
        <w:t xml:space="preserve">2016 год - </w:t>
      </w:r>
      <w:r>
        <w:rPr>
          <w:sz w:val="28"/>
          <w:szCs w:val="28"/>
        </w:rPr>
        <w:t>3 250,</w:t>
      </w:r>
      <w:r w:rsidRPr="001025AF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1025AF">
        <w:rPr>
          <w:sz w:val="28"/>
          <w:szCs w:val="28"/>
        </w:rPr>
        <w:t>тыс.рублей;</w:t>
      </w:r>
    </w:p>
    <w:p w:rsidR="00074CFA" w:rsidRDefault="00074CFA" w:rsidP="003A02DE">
      <w:pPr>
        <w:spacing w:line="288" w:lineRule="auto"/>
        <w:ind w:firstLine="708"/>
        <w:jc w:val="both"/>
        <w:rPr>
          <w:sz w:val="28"/>
          <w:szCs w:val="28"/>
        </w:rPr>
      </w:pPr>
      <w:r w:rsidRPr="001025AF">
        <w:rPr>
          <w:sz w:val="28"/>
          <w:szCs w:val="28"/>
        </w:rPr>
        <w:t>- 2015 год - 3 292,7 тыс</w:t>
      </w:r>
      <w:r w:rsidRPr="002B3070">
        <w:rPr>
          <w:sz w:val="28"/>
          <w:szCs w:val="28"/>
        </w:rPr>
        <w:t xml:space="preserve">.рублей. </w:t>
      </w:r>
    </w:p>
    <w:p w:rsidR="00074CFA" w:rsidRDefault="000530B2" w:rsidP="003A02DE">
      <w:pPr>
        <w:autoSpaceDE w:val="0"/>
        <w:autoSpaceDN w:val="0"/>
        <w:adjustRightInd w:val="0"/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Оказаны </w:t>
      </w:r>
      <w:r w:rsidR="00074CFA">
        <w:rPr>
          <w:sz w:val="28"/>
          <w:szCs w:val="28"/>
        </w:rPr>
        <w:t>следующие услуги:</w:t>
      </w:r>
    </w:p>
    <w:p w:rsidR="00074CFA" w:rsidRDefault="00074CFA" w:rsidP="003A02DE">
      <w:pPr>
        <w:autoSpaceDE w:val="0"/>
        <w:autoSpaceDN w:val="0"/>
        <w:adjustRightInd w:val="0"/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ледовой арены, хореографического зала в почасовое пользование;</w:t>
      </w:r>
    </w:p>
    <w:p w:rsidR="00074CFA" w:rsidRDefault="00074CFA" w:rsidP="003A02DE">
      <w:pPr>
        <w:autoSpaceDE w:val="0"/>
        <w:autoSpaceDN w:val="0"/>
        <w:adjustRightInd w:val="0"/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прокат коньков;</w:t>
      </w:r>
    </w:p>
    <w:p w:rsidR="00074CFA" w:rsidRDefault="00074CFA" w:rsidP="003A02DE">
      <w:pPr>
        <w:autoSpaceDE w:val="0"/>
        <w:autoSpaceDN w:val="0"/>
        <w:adjustRightInd w:val="0"/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заточка коньков;</w:t>
      </w:r>
    </w:p>
    <w:p w:rsidR="00074CFA" w:rsidRDefault="00074CFA" w:rsidP="003A02DE">
      <w:pPr>
        <w:autoSpaceDE w:val="0"/>
        <w:autoSpaceDN w:val="0"/>
        <w:adjustRightInd w:val="0"/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услуги массового катания (билеты детские, взрослые);</w:t>
      </w:r>
    </w:p>
    <w:p w:rsidR="00074CFA" w:rsidRDefault="00074CFA" w:rsidP="003A02DE">
      <w:pPr>
        <w:autoSpaceDE w:val="0"/>
        <w:autoSpaceDN w:val="0"/>
        <w:adjustRightInd w:val="0"/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посещение тренажерного зала (абонементы, билеты);</w:t>
      </w:r>
    </w:p>
    <w:p w:rsidR="00074CFA" w:rsidRDefault="00074CFA" w:rsidP="003A02DE">
      <w:pPr>
        <w:autoSpaceDE w:val="0"/>
        <w:autoSpaceDN w:val="0"/>
        <w:adjustRightInd w:val="0"/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обучение катанию на коньках с тренером;</w:t>
      </w:r>
    </w:p>
    <w:p w:rsidR="00074CFA" w:rsidRDefault="00074CFA" w:rsidP="003A02DE">
      <w:pPr>
        <w:autoSpaceDE w:val="0"/>
        <w:autoSpaceDN w:val="0"/>
        <w:adjustRightInd w:val="0"/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помещений в аренду.</w:t>
      </w:r>
    </w:p>
    <w:p w:rsidR="00074CFA" w:rsidRPr="000530B2" w:rsidRDefault="00074CFA" w:rsidP="003A02DE">
      <w:pPr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 w:rsidRPr="000530B2">
        <w:rPr>
          <w:sz w:val="28"/>
          <w:szCs w:val="28"/>
        </w:rPr>
        <w:t>Цены на платные услуги установлены в МАУ «ДЮСШ “Ак Буре”» на основании прейскурантов, утвержденных Комитетом физической культуры и спорта ИК МО г.Казани, Комитетом экономического развития аппарата ИК МО г.Казани от 07.05.2014, от 09.11.2012.</w:t>
      </w:r>
    </w:p>
    <w:p w:rsidR="00074CFA" w:rsidRPr="00023022" w:rsidRDefault="00074CFA" w:rsidP="003A02DE">
      <w:pPr>
        <w:autoSpaceDE w:val="0"/>
        <w:autoSpaceDN w:val="0"/>
        <w:adjustRightInd w:val="0"/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Прейскуранты цен разработаны на основе калькуляции платных услуг (заключения</w:t>
      </w:r>
      <w:r w:rsidRPr="008F2310">
        <w:rPr>
          <w:sz w:val="28"/>
          <w:szCs w:val="28"/>
        </w:rPr>
        <w:t xml:space="preserve"> </w:t>
      </w:r>
      <w:r>
        <w:rPr>
          <w:sz w:val="28"/>
          <w:szCs w:val="28"/>
        </w:rPr>
        <w:t>по экспертизе экономически обоснованной стоимости платных услуг) ОАО «Республиканский инженерно-технический центр», ГАУ</w:t>
      </w:r>
      <w:r w:rsidR="000530B2">
        <w:rPr>
          <w:sz w:val="28"/>
          <w:szCs w:val="28"/>
        </w:rPr>
        <w:t> </w:t>
      </w:r>
      <w:r>
        <w:rPr>
          <w:sz w:val="28"/>
          <w:szCs w:val="28"/>
        </w:rPr>
        <w:t xml:space="preserve">«Управление государственной экспертизы и ценообразования РТ по </w:t>
      </w:r>
      <w:r w:rsidRPr="00023022">
        <w:rPr>
          <w:sz w:val="28"/>
          <w:szCs w:val="28"/>
        </w:rPr>
        <w:t>строительству и архитектуре».</w:t>
      </w:r>
    </w:p>
    <w:p w:rsidR="00074CFA" w:rsidRPr="00023022" w:rsidRDefault="00074CFA" w:rsidP="003A02DE">
      <w:pPr>
        <w:autoSpaceDE w:val="0"/>
        <w:autoSpaceDN w:val="0"/>
        <w:adjustRightInd w:val="0"/>
        <w:spacing w:line="288" w:lineRule="auto"/>
        <w:ind w:firstLine="708"/>
        <w:contextualSpacing/>
        <w:jc w:val="both"/>
        <w:rPr>
          <w:sz w:val="28"/>
          <w:szCs w:val="28"/>
        </w:rPr>
      </w:pPr>
      <w:r w:rsidRPr="00023022">
        <w:rPr>
          <w:sz w:val="28"/>
          <w:szCs w:val="28"/>
        </w:rPr>
        <w:t>МАУ «ДЮСШ “Ак Буре”» на некоторые виды платных услуг цены не пересматривались:</w:t>
      </w:r>
    </w:p>
    <w:p w:rsidR="00074CFA" w:rsidRPr="00023022" w:rsidRDefault="00074CFA" w:rsidP="003A02D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3022">
        <w:rPr>
          <w:rFonts w:ascii="Times New Roman" w:eastAsia="Times New Roman" w:hAnsi="Times New Roman" w:cs="Times New Roman"/>
          <w:sz w:val="28"/>
          <w:szCs w:val="28"/>
          <w:lang w:eastAsia="ar-SA"/>
        </w:rPr>
        <w:t>с 2012 года, в том числе:</w:t>
      </w:r>
    </w:p>
    <w:p w:rsidR="00074CFA" w:rsidRPr="00023022" w:rsidRDefault="00074CFA" w:rsidP="003A02DE">
      <w:pPr>
        <w:pStyle w:val="a3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022">
        <w:rPr>
          <w:rFonts w:ascii="Times New Roman" w:hAnsi="Times New Roman" w:cs="Times New Roman"/>
          <w:sz w:val="28"/>
          <w:szCs w:val="28"/>
        </w:rPr>
        <w:t>- хореографического зала (200 рублей/час, в том числе НДС);</w:t>
      </w:r>
    </w:p>
    <w:p w:rsidR="00074CFA" w:rsidRPr="00023022" w:rsidRDefault="00074CFA" w:rsidP="003A02DE">
      <w:pPr>
        <w:pStyle w:val="a3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022">
        <w:rPr>
          <w:rFonts w:ascii="Times New Roman" w:hAnsi="Times New Roman" w:cs="Times New Roman"/>
          <w:sz w:val="28"/>
          <w:szCs w:val="28"/>
        </w:rPr>
        <w:t>- тренажерного зала (абонементы);</w:t>
      </w:r>
    </w:p>
    <w:p w:rsidR="00074CFA" w:rsidRDefault="00074CFA" w:rsidP="003A02D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3022">
        <w:rPr>
          <w:rFonts w:ascii="Times New Roman" w:eastAsia="Times New Roman" w:hAnsi="Times New Roman" w:cs="Times New Roman"/>
          <w:sz w:val="28"/>
          <w:szCs w:val="28"/>
          <w:lang w:eastAsia="ar-SA"/>
        </w:rPr>
        <w:t>с 2014 года - ледовой арены (4800,0 рублей/ час, в том числе НДС), что не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должной мере </w:t>
      </w:r>
      <w:r w:rsidRPr="00E53B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позволяет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проанализировать </w:t>
      </w:r>
      <w:r w:rsidRPr="00E53B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доходность платной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 целью эффективности</w:t>
      </w:r>
      <w:r w:rsidRPr="00E53B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использования муниципального имущества.</w:t>
      </w:r>
    </w:p>
    <w:p w:rsidR="00074CFA" w:rsidRDefault="00074CFA" w:rsidP="003A02DE">
      <w:pPr>
        <w:pStyle w:val="a3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Р</w:t>
      </w:r>
      <w:r w:rsidRPr="0012567B">
        <w:rPr>
          <w:rFonts w:ascii="Times New Roman" w:eastAsia="Times New Roman" w:hAnsi="Times New Roman" w:cs="Times New Roman"/>
          <w:sz w:val="28"/>
          <w:szCs w:val="28"/>
          <w:lang w:eastAsia="ar-SA"/>
        </w:rPr>
        <w:t>асчет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1256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калькул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яций специализированных организаций составлены без учета требований, предусмотренных</w:t>
      </w:r>
      <w:r w:rsidRPr="009D5D87">
        <w:rPr>
          <w:sz w:val="28"/>
          <w:szCs w:val="28"/>
        </w:rPr>
        <w:t xml:space="preserve"> </w:t>
      </w:r>
      <w:r w:rsidRPr="009D5D87">
        <w:rPr>
          <w:rFonts w:ascii="Times New Roman" w:hAnsi="Times New Roman" w:cs="Times New Roman"/>
          <w:sz w:val="28"/>
          <w:szCs w:val="28"/>
        </w:rPr>
        <w:t>п.</w:t>
      </w:r>
      <w:r w:rsidRPr="000530B2">
        <w:rPr>
          <w:rFonts w:ascii="Times New Roman" w:hAnsi="Times New Roman" w:cs="Times New Roman"/>
          <w:sz w:val="28"/>
          <w:szCs w:val="28"/>
        </w:rPr>
        <w:t>IV</w:t>
      </w:r>
      <w:r w:rsidRPr="009D5D87">
        <w:rPr>
          <w:rFonts w:ascii="Times New Roman" w:hAnsi="Times New Roman" w:cs="Times New Roman"/>
        </w:rPr>
        <w:t xml:space="preserve"> </w:t>
      </w:r>
      <w:r w:rsidRPr="009D5D87">
        <w:rPr>
          <w:rFonts w:ascii="Times New Roman" w:hAnsi="Times New Roman" w:cs="Times New Roman"/>
          <w:sz w:val="28"/>
          <w:szCs w:val="28"/>
        </w:rPr>
        <w:t>Регламента оказания платных услуг, предоставляемых физическим (юридическим) лицам муниципальными учреждениями, подведомственными Комитету физической культуры и спорта Исполнительного комитета г.Казани (Постановление ИК МО г.Казани от 21.08.2014 №4995), п.4 Р</w:t>
      </w:r>
      <w:hyperlink r:id="rId9" w:history="1">
        <w:r w:rsidRPr="009D5D87">
          <w:rPr>
            <w:rFonts w:ascii="Times New Roman" w:hAnsi="Times New Roman" w:cs="Times New Roman"/>
            <w:sz w:val="28"/>
            <w:szCs w:val="28"/>
          </w:rPr>
          <w:t>ешения</w:t>
        </w:r>
      </w:hyperlink>
      <w:r w:rsidRPr="009D5D87">
        <w:rPr>
          <w:rFonts w:ascii="Times New Roman" w:hAnsi="Times New Roman" w:cs="Times New Roman"/>
          <w:sz w:val="28"/>
          <w:szCs w:val="28"/>
        </w:rPr>
        <w:t xml:space="preserve"> Казанской городской Думы от 20.04.2006 №9-8 «О порядке установления цен, тарифов на товары, работы и услуги муниципальных предприятий и учреждений г. Казани».</w:t>
      </w:r>
    </w:p>
    <w:p w:rsidR="00281B40" w:rsidRPr="003763CF" w:rsidRDefault="00281B40" w:rsidP="003A02DE">
      <w:pPr>
        <w:pStyle w:val="a3"/>
        <w:autoSpaceDE w:val="0"/>
        <w:autoSpaceDN w:val="0"/>
        <w:adjustRightInd w:val="0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обеспечено ведение аналитического учета заказчиков по договорам, заключенным на долгосрочный период, не позволяет сформировать в системе бухгалтерского учета </w:t>
      </w:r>
      <w:r w:rsidRPr="00281B40">
        <w:rPr>
          <w:rFonts w:ascii="Times New Roman" w:hAnsi="Times New Roman" w:cs="Times New Roman"/>
          <w:sz w:val="28"/>
          <w:szCs w:val="28"/>
        </w:rPr>
        <w:t xml:space="preserve">состояние расчетов, наличие кредиторской задолженности по конкретному потребителю услуги, что не </w:t>
      </w:r>
      <w:r w:rsidRPr="00281B40">
        <w:t xml:space="preserve"> </w:t>
      </w:r>
      <w:r w:rsidRPr="00281B40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3763CF">
        <w:rPr>
          <w:rFonts w:ascii="Times New Roman" w:hAnsi="Times New Roman" w:cs="Times New Roman"/>
          <w:sz w:val="28"/>
          <w:szCs w:val="28"/>
        </w:rPr>
        <w:t xml:space="preserve">требованиям </w:t>
      </w:r>
      <w:hyperlink r:id="rId10" w:history="1">
        <w:r w:rsidRPr="003763CF">
          <w:rPr>
            <w:rFonts w:ascii="Times New Roman" w:hAnsi="Times New Roman" w:cs="Times New Roman"/>
            <w:sz w:val="28"/>
            <w:szCs w:val="28"/>
          </w:rPr>
          <w:t>п.п. 3</w:t>
        </w:r>
      </w:hyperlink>
      <w:r w:rsidRPr="003763CF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3763CF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3763CF">
        <w:rPr>
          <w:rFonts w:ascii="Times New Roman" w:hAnsi="Times New Roman" w:cs="Times New Roman"/>
          <w:sz w:val="28"/>
          <w:szCs w:val="28"/>
        </w:rPr>
        <w:t xml:space="preserve">, 197, 200 Инструкции №157н, </w:t>
      </w:r>
      <w:hyperlink r:id="rId12" w:history="1">
        <w:r w:rsidRPr="003763CF">
          <w:rPr>
            <w:rFonts w:ascii="Times New Roman" w:hAnsi="Times New Roman" w:cs="Times New Roman"/>
            <w:sz w:val="28"/>
            <w:szCs w:val="28"/>
          </w:rPr>
          <w:t>п.150</w:t>
        </w:r>
      </w:hyperlink>
      <w:r w:rsidRPr="003763CF">
        <w:rPr>
          <w:rFonts w:ascii="Times New Roman" w:hAnsi="Times New Roman" w:cs="Times New Roman"/>
          <w:sz w:val="28"/>
          <w:szCs w:val="28"/>
        </w:rPr>
        <w:t xml:space="preserve"> Инструкции №174н (Приказ Минфина РФ от 16.12.2010 №174н «Об утверждении Плана счетов </w:t>
      </w:r>
      <w:r w:rsidRPr="003763CF">
        <w:rPr>
          <w:rFonts w:ascii="Times New Roman" w:hAnsi="Times New Roman" w:cs="Times New Roman"/>
          <w:sz w:val="28"/>
          <w:szCs w:val="28"/>
        </w:rPr>
        <w:lastRenderedPageBreak/>
        <w:t>бухгалтерского учета бюджетных учреждений и Инструкции по его применению»).</w:t>
      </w:r>
    </w:p>
    <w:p w:rsidR="00B36D74" w:rsidRPr="003763CF" w:rsidRDefault="00B36D74" w:rsidP="003A02DE">
      <w:pPr>
        <w:pStyle w:val="a3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3CF">
        <w:rPr>
          <w:rFonts w:ascii="Times New Roman" w:hAnsi="Times New Roman" w:cs="Times New Roman"/>
          <w:sz w:val="28"/>
          <w:szCs w:val="28"/>
        </w:rPr>
        <w:t xml:space="preserve">4.2. Установлены случаи заключения договоров аренды на предоставление в пользование части крыши на размещение оборудования базовых станций сотовой связи без согласования с КЗИО ИК МО г.Казани, </w:t>
      </w:r>
      <w:r w:rsidR="003763CF">
        <w:rPr>
          <w:rFonts w:ascii="Times New Roman" w:hAnsi="Times New Roman" w:cs="Times New Roman"/>
          <w:sz w:val="28"/>
          <w:szCs w:val="28"/>
        </w:rPr>
        <w:t xml:space="preserve">на срок </w:t>
      </w:r>
      <w:r w:rsidRPr="003763CF">
        <w:rPr>
          <w:rFonts w:ascii="Times New Roman" w:hAnsi="Times New Roman" w:cs="Times New Roman"/>
          <w:sz w:val="28"/>
          <w:szCs w:val="28"/>
        </w:rPr>
        <w:t>более 1 года, что не соответствует требованиям статьи 608, 651 Гражданского кодекса Российской Федерации, постановления ИК МО г.Казани от 19.10.2015 №3747 «О Порядке согласования сдачи в аренду муниципального имущества г.Казани, закрепленного за муниципальными унитарными предприятиями на праве хозяйственного ведения, за муниципальными учреждениями - на праве оперативного управления».</w:t>
      </w:r>
    </w:p>
    <w:p w:rsidR="00B36D74" w:rsidRPr="00B36D74" w:rsidRDefault="00B36D74" w:rsidP="003A02DE">
      <w:pPr>
        <w:pStyle w:val="a3"/>
        <w:suppressAutoHyphens/>
        <w:spacing w:after="0" w:line="288" w:lineRule="auto"/>
        <w:ind w:left="0" w:firstLine="708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B36D7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r w:rsidRPr="00B36D74">
        <w:rPr>
          <w:rFonts w:ascii="Times New Roman" w:eastAsia="Times New Roman" w:hAnsi="Times New Roman" w:cs="Times New Roman"/>
          <w:sz w:val="28"/>
          <w:szCs w:val="28"/>
          <w:lang w:eastAsia="ar-SA"/>
        </w:rPr>
        <w:t>В МАУ «ДЮСШ “Ак Буре”» отсутству</w:t>
      </w:r>
      <w:r w:rsidR="003763CF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B36D74">
        <w:rPr>
          <w:rFonts w:ascii="Times New Roman" w:eastAsia="Times New Roman" w:hAnsi="Times New Roman" w:cs="Times New Roman"/>
          <w:sz w:val="28"/>
          <w:szCs w:val="28"/>
          <w:lang w:eastAsia="ar-SA"/>
        </w:rPr>
        <w:t>т согласующее письмо уполномоченного органа в сфере защиты прав потребителей и благополучия человека (с октября 2015), а также экспертная оценка последствий аренды, подписанная руководителем и согласованная учредителем учреждения на все договоры аренды, действующие в проверяемом периоде, что не соответствует порядку согласования сдачи в аренду муниципального имущества (</w:t>
      </w:r>
      <w:r w:rsidRPr="00B36D7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Постановления ИК МО г.Казани от 19.10.2015 №3747, от 07.06.2011 №3007).</w:t>
      </w:r>
    </w:p>
    <w:p w:rsidR="00B36D74" w:rsidRPr="00B36D74" w:rsidRDefault="00B36D74" w:rsidP="003A02DE">
      <w:pPr>
        <w:pStyle w:val="a3"/>
        <w:widowControl w:val="0"/>
        <w:suppressAutoHyphens/>
        <w:autoSpaceDE w:val="0"/>
        <w:autoSpaceDN w:val="0"/>
        <w:adjustRightInd w:val="0"/>
        <w:spacing w:after="0" w:line="288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6D7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 проверяемом периоде </w:t>
      </w:r>
      <w:r w:rsidRPr="00B36D74">
        <w:rPr>
          <w:rFonts w:ascii="Times New Roman" w:hAnsi="Times New Roman" w:cs="Times New Roman"/>
          <w:iCs/>
          <w:sz w:val="28"/>
          <w:szCs w:val="28"/>
        </w:rPr>
        <w:t>имущество, переданное МАУ</w:t>
      </w:r>
      <w:r w:rsidRPr="00B36D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«ДЮСШ “Ак Буре”» </w:t>
      </w:r>
      <w:r w:rsidRPr="00B36D74">
        <w:rPr>
          <w:rFonts w:ascii="Times New Roman" w:hAnsi="Times New Roman" w:cs="Times New Roman"/>
          <w:iCs/>
          <w:sz w:val="28"/>
          <w:szCs w:val="28"/>
        </w:rPr>
        <w:t>по договорам аренды, не учтено на забалансовом счете 25 «</w:t>
      </w:r>
      <w:r w:rsidRPr="00B36D74">
        <w:rPr>
          <w:rFonts w:ascii="Times New Roman" w:hAnsi="Times New Roman" w:cs="Times New Roman"/>
          <w:sz w:val="28"/>
          <w:szCs w:val="28"/>
        </w:rPr>
        <w:t xml:space="preserve">Имущество, переданное в возмездное пользование (аренду)» в количественном и стоимостном выражении, что не соответствует </w:t>
      </w:r>
      <w:hyperlink r:id="rId13" w:history="1">
        <w:r w:rsidRPr="00B36D74"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>п.п. 38</w:t>
        </w:r>
      </w:hyperlink>
      <w:r w:rsidRPr="00B36D7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1, 382 Инструкции №157н </w:t>
      </w:r>
      <w:r w:rsidRPr="00B36D74">
        <w:rPr>
          <w:rFonts w:ascii="Times New Roman" w:hAnsi="Times New Roman" w:cs="Times New Roman"/>
          <w:iCs/>
          <w:sz w:val="28"/>
          <w:szCs w:val="28"/>
        </w:rPr>
        <w:t>в целях обеспечения надлежащего контроля за его сохранностью, целевым использованием и движением на общую сумму 882,7 тыс.рублей.</w:t>
      </w:r>
    </w:p>
    <w:p w:rsidR="00B36D74" w:rsidRPr="00B36D74" w:rsidRDefault="00B36D74" w:rsidP="003A02DE">
      <w:pPr>
        <w:spacing w:line="288" w:lineRule="auto"/>
        <w:ind w:firstLine="708"/>
        <w:jc w:val="both"/>
        <w:rPr>
          <w:sz w:val="28"/>
          <w:szCs w:val="28"/>
        </w:rPr>
      </w:pPr>
      <w:r w:rsidRPr="00B36D74">
        <w:rPr>
          <w:sz w:val="28"/>
          <w:szCs w:val="28"/>
        </w:rPr>
        <w:t> Установлены случаи оплаты</w:t>
      </w:r>
      <w:r w:rsidRPr="00B36D74">
        <w:rPr>
          <w:bCs/>
          <w:sz w:val="28"/>
          <w:szCs w:val="28"/>
        </w:rPr>
        <w:t xml:space="preserve"> за предоставленные услуги с нарушением сроков, предусмотренных договором аренды</w:t>
      </w:r>
      <w:r w:rsidRPr="00B36D74">
        <w:rPr>
          <w:sz w:val="28"/>
          <w:szCs w:val="28"/>
        </w:rPr>
        <w:t>. Расчет пеней, предусмотренный договором аренды, не осуществлялся, неустойка за невыполнение обязательств арендатором не предъявлена. Непринятие мер по удержанию неустойки и ее своевременному перечислению в соответствии со статьей 332 Гражданского кодекса Российской Федерации не в полной мере обеспечивает полноту формирования доходов от арендной платы, эффективность использования муниципального имущества.</w:t>
      </w:r>
    </w:p>
    <w:p w:rsidR="00F86CDA" w:rsidRDefault="00F86CDA" w:rsidP="003A02DE">
      <w:pPr>
        <w:pStyle w:val="a6"/>
        <w:spacing w:line="288" w:lineRule="auto"/>
        <w:ind w:firstLine="708"/>
        <w:rPr>
          <w:rFonts w:ascii="Times New Roman" w:hAnsi="Times New Roman"/>
          <w:spacing w:val="-2"/>
          <w:szCs w:val="28"/>
        </w:rPr>
      </w:pPr>
      <w:r w:rsidRPr="00BE595B">
        <w:rPr>
          <w:rFonts w:ascii="Times New Roman" w:hAnsi="Times New Roman"/>
          <w:spacing w:val="-2"/>
          <w:szCs w:val="28"/>
        </w:rPr>
        <w:t>Контроль</w:t>
      </w:r>
      <w:r w:rsidRPr="00317432">
        <w:rPr>
          <w:rFonts w:ascii="Times New Roman" w:hAnsi="Times New Roman"/>
          <w:spacing w:val="-2"/>
          <w:szCs w:val="28"/>
        </w:rPr>
        <w:t>но-счетной палатой города Казани выявленные нарушения действующего законодательства в деятельности</w:t>
      </w:r>
      <w:r w:rsidR="00172750" w:rsidRPr="00172750">
        <w:rPr>
          <w:rFonts w:ascii="Times New Roman" w:hAnsi="Times New Roman"/>
          <w:iCs/>
          <w:szCs w:val="28"/>
        </w:rPr>
        <w:t xml:space="preserve"> </w:t>
      </w:r>
      <w:r w:rsidR="00172750" w:rsidRPr="00483884">
        <w:rPr>
          <w:rFonts w:ascii="Times New Roman" w:hAnsi="Times New Roman"/>
          <w:iCs/>
          <w:szCs w:val="28"/>
        </w:rPr>
        <w:t>МАУ</w:t>
      </w:r>
      <w:r w:rsidR="00172750" w:rsidRPr="00483884">
        <w:rPr>
          <w:rFonts w:ascii="Times New Roman" w:hAnsi="Times New Roman"/>
          <w:szCs w:val="28"/>
        </w:rPr>
        <w:t xml:space="preserve"> «ДЮСШ “Ак Буре”»</w:t>
      </w:r>
      <w:r w:rsidRPr="00F86CDA">
        <w:rPr>
          <w:rFonts w:ascii="Times New Roman" w:hAnsi="Times New Roman"/>
          <w:spacing w:val="-2"/>
          <w:szCs w:val="28"/>
        </w:rPr>
        <w:t xml:space="preserve"> </w:t>
      </w:r>
      <w:r w:rsidRPr="00317432">
        <w:rPr>
          <w:rFonts w:ascii="Times New Roman" w:hAnsi="Times New Roman"/>
          <w:spacing w:val="-2"/>
          <w:szCs w:val="28"/>
        </w:rPr>
        <w:t xml:space="preserve">для принятия мер по их устранению и привлечению виновных должностных лиц к </w:t>
      </w:r>
      <w:r w:rsidRPr="00317432">
        <w:rPr>
          <w:rFonts w:ascii="Times New Roman" w:hAnsi="Times New Roman"/>
          <w:spacing w:val="-2"/>
          <w:szCs w:val="28"/>
        </w:rPr>
        <w:lastRenderedPageBreak/>
        <w:t>дисциплинарной ответственности, направлены руководителю учреждения</w:t>
      </w:r>
      <w:r>
        <w:rPr>
          <w:rFonts w:ascii="Times New Roman" w:hAnsi="Times New Roman"/>
          <w:spacing w:val="-2"/>
          <w:szCs w:val="28"/>
        </w:rPr>
        <w:t xml:space="preserve"> и</w:t>
      </w:r>
      <w:r w:rsidRPr="00317432">
        <w:rPr>
          <w:rFonts w:ascii="Times New Roman" w:hAnsi="Times New Roman"/>
          <w:spacing w:val="-2"/>
          <w:szCs w:val="28"/>
        </w:rPr>
        <w:t xml:space="preserve"> в прокуратуру города Казани.</w:t>
      </w:r>
    </w:p>
    <w:sectPr w:rsidR="00F86CDA" w:rsidSect="00664734">
      <w:headerReference w:type="default" r:id="rId14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BFF" w:rsidRDefault="00AB4BFF">
      <w:r>
        <w:separator/>
      </w:r>
    </w:p>
  </w:endnote>
  <w:endnote w:type="continuationSeparator" w:id="0">
    <w:p w:rsidR="00AB4BFF" w:rsidRDefault="00AB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BFF" w:rsidRDefault="00AB4BFF">
      <w:r>
        <w:separator/>
      </w:r>
    </w:p>
  </w:footnote>
  <w:footnote w:type="continuationSeparator" w:id="0">
    <w:p w:rsidR="00AB4BFF" w:rsidRDefault="00AB4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315645"/>
      <w:docPartObj>
        <w:docPartGallery w:val="Page Numbers (Top of Page)"/>
        <w:docPartUnique/>
      </w:docPartObj>
    </w:sdtPr>
    <w:sdtEndPr/>
    <w:sdtContent>
      <w:p w:rsidR="00664734" w:rsidRDefault="00F64152">
        <w:pPr>
          <w:pStyle w:val="a4"/>
          <w:jc w:val="center"/>
        </w:pPr>
        <w:r>
          <w:fldChar w:fldCharType="begin"/>
        </w:r>
        <w:r w:rsidR="00A53B3C">
          <w:instrText>PAGE   \* MERGEFORMAT</w:instrText>
        </w:r>
        <w:r>
          <w:fldChar w:fldCharType="separate"/>
        </w:r>
        <w:r w:rsidR="00FD7731">
          <w:rPr>
            <w:noProof/>
          </w:rPr>
          <w:t>5</w:t>
        </w:r>
        <w:r>
          <w:fldChar w:fldCharType="end"/>
        </w:r>
      </w:p>
    </w:sdtContent>
  </w:sdt>
  <w:p w:rsidR="00664734" w:rsidRDefault="00FD77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64BC8"/>
    <w:multiLevelType w:val="multilevel"/>
    <w:tmpl w:val="1A209D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DB57E18"/>
    <w:multiLevelType w:val="hybridMultilevel"/>
    <w:tmpl w:val="4D7AD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F2140E"/>
    <w:multiLevelType w:val="hybridMultilevel"/>
    <w:tmpl w:val="B3AEA3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EF26E87"/>
    <w:multiLevelType w:val="hybridMultilevel"/>
    <w:tmpl w:val="4D90DE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6C"/>
    <w:rsid w:val="00022268"/>
    <w:rsid w:val="00023022"/>
    <w:rsid w:val="000300ED"/>
    <w:rsid w:val="000530B2"/>
    <w:rsid w:val="00074CFA"/>
    <w:rsid w:val="00172750"/>
    <w:rsid w:val="00281B40"/>
    <w:rsid w:val="002C541B"/>
    <w:rsid w:val="0033276C"/>
    <w:rsid w:val="003763CF"/>
    <w:rsid w:val="003A02DE"/>
    <w:rsid w:val="004B51A2"/>
    <w:rsid w:val="005624E3"/>
    <w:rsid w:val="005B58A7"/>
    <w:rsid w:val="007F21C7"/>
    <w:rsid w:val="00834E55"/>
    <w:rsid w:val="00A53B3C"/>
    <w:rsid w:val="00AB4BFF"/>
    <w:rsid w:val="00B36D74"/>
    <w:rsid w:val="00B37155"/>
    <w:rsid w:val="00BE595B"/>
    <w:rsid w:val="00C834D7"/>
    <w:rsid w:val="00E631D5"/>
    <w:rsid w:val="00F64152"/>
    <w:rsid w:val="00F86CDA"/>
    <w:rsid w:val="00FD7731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CD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F86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86CDA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86CDA"/>
  </w:style>
  <w:style w:type="paragraph" w:styleId="a6">
    <w:name w:val="Body Text Indent"/>
    <w:basedOn w:val="a"/>
    <w:link w:val="1"/>
    <w:uiPriority w:val="99"/>
    <w:semiHidden/>
    <w:unhideWhenUsed/>
    <w:rsid w:val="00F86CDA"/>
    <w:pPr>
      <w:ind w:firstLine="900"/>
      <w:jc w:val="both"/>
    </w:pPr>
    <w:rPr>
      <w:rFonts w:ascii="Calibri" w:hAnsi="Calibri"/>
      <w:sz w:val="28"/>
      <w:szCs w:val="20"/>
      <w:lang w:val="x-none"/>
    </w:rPr>
  </w:style>
  <w:style w:type="character" w:customStyle="1" w:styleId="a7">
    <w:name w:val="Основной текст с отступом Знак"/>
    <w:basedOn w:val="a0"/>
    <w:uiPriority w:val="99"/>
    <w:semiHidden/>
    <w:rsid w:val="00F86CD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с отступом Знак1"/>
    <w:link w:val="a6"/>
    <w:uiPriority w:val="99"/>
    <w:semiHidden/>
    <w:locked/>
    <w:rsid w:val="00F86CDA"/>
    <w:rPr>
      <w:rFonts w:ascii="Calibri" w:eastAsia="Times New Roman" w:hAnsi="Calibri" w:cs="Times New Roman"/>
      <w:sz w:val="28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CD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F86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86CDA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86CDA"/>
  </w:style>
  <w:style w:type="paragraph" w:styleId="a6">
    <w:name w:val="Body Text Indent"/>
    <w:basedOn w:val="a"/>
    <w:link w:val="1"/>
    <w:uiPriority w:val="99"/>
    <w:semiHidden/>
    <w:unhideWhenUsed/>
    <w:rsid w:val="00F86CDA"/>
    <w:pPr>
      <w:ind w:firstLine="900"/>
      <w:jc w:val="both"/>
    </w:pPr>
    <w:rPr>
      <w:rFonts w:ascii="Calibri" w:hAnsi="Calibri"/>
      <w:sz w:val="28"/>
      <w:szCs w:val="20"/>
      <w:lang w:val="x-none"/>
    </w:rPr>
  </w:style>
  <w:style w:type="character" w:customStyle="1" w:styleId="a7">
    <w:name w:val="Основной текст с отступом Знак"/>
    <w:basedOn w:val="a0"/>
    <w:uiPriority w:val="99"/>
    <w:semiHidden/>
    <w:rsid w:val="00F86CD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с отступом Знак1"/>
    <w:link w:val="a6"/>
    <w:uiPriority w:val="99"/>
    <w:semiHidden/>
    <w:locked/>
    <w:rsid w:val="00F86CDA"/>
    <w:rPr>
      <w:rFonts w:ascii="Calibri" w:eastAsia="Times New Roman" w:hAnsi="Calibri" w:cs="Times New Roman"/>
      <w:sz w:val="2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7C230F9E3B3D5F7BC239EE67E8E5A456BF5FE3FE7D587734C9D794F3D318D29044938614DD294F4Cz6K" TargetMode="External"/><Relationship Id="rId13" Type="http://schemas.openxmlformats.org/officeDocument/2006/relationships/hyperlink" Target="consultantplus://offline/ref=80532A50518A128BD9F5E0C5B782F9A0ED0CC6C233E6AD8537F666F8F50EC384F78CE736C59C178DP9a3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14882F90969377CFDFB4A0AFEF1F7E247635921E38DC5DC2328CB8307471C8A03E8E944EA3DC5FyBn9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444D2EB2AB931D124D501189014B483769A5817B845BBE6C7763481E21BF77D32046CA27D839AEq736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824FA07A92DD396D6629CF8BA887D5165D1036F59BE8BB7C45115AA38833072CF76E75B121B68D8yFFC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A079F21B29E184B1178D3F0DA93832B97CACD40375DE4CA6A517E4B0A0308E0960N7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1372</Words>
  <Characters>7824</Characters>
  <Application>Microsoft Office Word</Application>
  <DocSecurity>4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Аношина Гульуса</dc:creator>
  <cp:lastModifiedBy>Зайнагиева Ландыш</cp:lastModifiedBy>
  <cp:revision>2</cp:revision>
  <dcterms:created xsi:type="dcterms:W3CDTF">2017-12-15T08:31:00Z</dcterms:created>
  <dcterms:modified xsi:type="dcterms:W3CDTF">2017-12-15T08:31:00Z</dcterms:modified>
</cp:coreProperties>
</file>